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C9" w:rsidRDefault="009B0EC9" w:rsidP="009B0EC9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вопросу №</w:t>
      </w:r>
      <w:r w:rsidR="0073175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повестки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дня заседания Наблюдательного совета </w:t>
      </w:r>
      <w:r w:rsidRPr="009B0EC9">
        <w:rPr>
          <w:rFonts w:ascii="Times New Roman" w:hAnsi="Times New Roman" w:cs="Times New Roman"/>
          <w:b/>
          <w:sz w:val="28"/>
          <w:szCs w:val="28"/>
        </w:rPr>
        <w:t>Государственного автономного учреждения Республики</w:t>
      </w:r>
      <w:proofErr w:type="gramEnd"/>
      <w:r w:rsidRPr="009B0EC9">
        <w:rPr>
          <w:rFonts w:ascii="Times New Roman" w:hAnsi="Times New Roman" w:cs="Times New Roman"/>
          <w:b/>
          <w:sz w:val="28"/>
          <w:szCs w:val="28"/>
        </w:rPr>
        <w:t xml:space="preserve"> Саха (Якутия) «Центр стратегических исследо</w:t>
      </w:r>
      <w:r>
        <w:rPr>
          <w:rFonts w:ascii="Times New Roman" w:hAnsi="Times New Roman" w:cs="Times New Roman"/>
          <w:b/>
          <w:sz w:val="28"/>
          <w:szCs w:val="28"/>
        </w:rPr>
        <w:t>ваний Республики Саха (Якутия)»</w:t>
      </w:r>
    </w:p>
    <w:p w:rsidR="009B0EC9" w:rsidRPr="009B0EC9" w:rsidRDefault="009B0EC9" w:rsidP="009B0EC9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Pr="009B0EC9" w:rsidRDefault="009B0EC9" w:rsidP="009B0EC9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  <w:u w:val="single"/>
        </w:rPr>
        <w:t>Вопрос №</w:t>
      </w:r>
      <w:r w:rsidR="00731753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9B0EC9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566">
        <w:rPr>
          <w:rFonts w:ascii="Times New Roman" w:hAnsi="Times New Roman" w:cs="Times New Roman"/>
          <w:b/>
          <w:sz w:val="28"/>
          <w:szCs w:val="28"/>
        </w:rPr>
        <w:t>«</w:t>
      </w:r>
      <w:r w:rsidR="00731753">
        <w:rPr>
          <w:rFonts w:ascii="Times New Roman" w:hAnsi="Times New Roman" w:cs="Times New Roman"/>
          <w:sz w:val="28"/>
          <w:szCs w:val="28"/>
        </w:rPr>
        <w:t>Об одобрении крупной сделки с Компанией «</w:t>
      </w:r>
      <w:r w:rsidR="00731753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731753">
        <w:rPr>
          <w:rFonts w:ascii="Times New Roman" w:hAnsi="Times New Roman" w:cs="Times New Roman"/>
          <w:sz w:val="28"/>
          <w:szCs w:val="28"/>
        </w:rPr>
        <w:t xml:space="preserve"> </w:t>
      </w:r>
      <w:r w:rsidR="00731753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="00731753">
        <w:rPr>
          <w:rFonts w:ascii="Times New Roman" w:hAnsi="Times New Roman" w:cs="Times New Roman"/>
          <w:sz w:val="28"/>
          <w:szCs w:val="28"/>
        </w:rPr>
        <w:t xml:space="preserve"> </w:t>
      </w:r>
      <w:r w:rsidR="0073175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731753">
        <w:rPr>
          <w:rFonts w:ascii="Times New Roman" w:hAnsi="Times New Roman" w:cs="Times New Roman"/>
          <w:sz w:val="28"/>
          <w:szCs w:val="28"/>
        </w:rPr>
        <w:t>.</w:t>
      </w:r>
      <w:r w:rsidR="0073175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31753">
        <w:rPr>
          <w:rFonts w:ascii="Times New Roman" w:hAnsi="Times New Roman" w:cs="Times New Roman"/>
          <w:sz w:val="28"/>
          <w:szCs w:val="28"/>
        </w:rPr>
        <w:t>.» на оказание информационно-аналитических услуг по предоставлению финансовой информации об участниках финансового рынка с использованием системы «</w:t>
      </w:r>
      <w:r w:rsidR="00731753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731753">
        <w:rPr>
          <w:rFonts w:ascii="Times New Roman" w:hAnsi="Times New Roman" w:cs="Times New Roman"/>
          <w:sz w:val="28"/>
          <w:szCs w:val="28"/>
        </w:rPr>
        <w:t xml:space="preserve"> </w:t>
      </w:r>
      <w:r w:rsidR="00731753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731753">
        <w:rPr>
          <w:rFonts w:ascii="Times New Roman" w:hAnsi="Times New Roman" w:cs="Times New Roman"/>
          <w:sz w:val="28"/>
          <w:szCs w:val="28"/>
        </w:rPr>
        <w:t>».</w:t>
      </w:r>
    </w:p>
    <w:p w:rsidR="009B0EC9" w:rsidRPr="009B0EC9" w:rsidRDefault="009B0EC9" w:rsidP="009B0EC9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DDD" w:rsidRPr="004F0DDD" w:rsidRDefault="004F0DDD" w:rsidP="007317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ГАУ «Центр стратегических исследований Республики Саха (Якутия)» выполняет широкий спектр аналитических задач для Правительства Республики Саха (Якутия) в рамках исполнения государственного задания, работ по мониторингу и выработке предложений по обеспечению экономической и социальной стабильности в республике. </w:t>
      </w:r>
    </w:p>
    <w:p w:rsidR="004F0DDD" w:rsidRPr="004F0DDD" w:rsidRDefault="004F0DDD" w:rsidP="004F0DDD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Поставленные перед Центром требования к качеству, срочности и достоверности аналитической информации предполагает наличие комплексного решения информационного обеспечения проводимой работы, которые не могут удовлетворить исключительно открытые и бесплатные источники информации. Чрезвычайно важным для принятия управленческих и экономических решений является обладание своевременной, исчерпывающей и достоверной экономической, деловой и финансовой информацией.</w:t>
      </w:r>
    </w:p>
    <w:p w:rsidR="004F0DDD" w:rsidRPr="00E15566" w:rsidRDefault="004F0DDD" w:rsidP="004F0DDD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нформационное агентство «</w:t>
      </w:r>
      <w:proofErr w:type="spellStart"/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Bloomberg</w:t>
      </w:r>
      <w:proofErr w:type="spellEnd"/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является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ризнанным мировым лидером в области деловой и финансовой информации для профессиональных участников финансовых рынков и государственных </w:t>
      </w:r>
      <w:r w:rsidRPr="00E155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учреждений. </w:t>
      </w:r>
    </w:p>
    <w:p w:rsidR="004F0DDD" w:rsidRPr="004F0DDD" w:rsidRDefault="004F0DDD" w:rsidP="004F0DDD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>нформационная система «</w:t>
      </w:r>
      <w:proofErr w:type="spellStart"/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Bloomberg</w:t>
      </w:r>
      <w:proofErr w:type="spellEnd"/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включает в себя:</w:t>
      </w:r>
    </w:p>
    <w:p w:rsidR="004F0DDD" w:rsidRPr="004F0DDD" w:rsidRDefault="004F0DDD" w:rsidP="004F0DD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72" w:line="240" w:lineRule="atLeast"/>
        <w:ind w:left="0"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региональные макроэкономические данные и данные по различным секторам рынка, в том числе информация об инфляции, ВВП, данные об объемах экспорта и импорта, рынках недвижимости, цены на товарных рынках, критические изменения нормативно-правовой и политико-экономической системах по странам.</w:t>
      </w:r>
    </w:p>
    <w:p w:rsidR="004F0DDD" w:rsidRPr="004F0DDD" w:rsidRDefault="004F0DDD" w:rsidP="004F0DD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72" w:line="240" w:lineRule="atLeast"/>
        <w:ind w:left="0"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новости представлены по событиям, в глобальном масштабе, новости о компаниях, рынках, отраслях, экономиках и правительствах более чем 160 стран мира, в том числе на русском языке.</w:t>
      </w:r>
    </w:p>
    <w:p w:rsidR="004F0DDD" w:rsidRPr="004F0DDD" w:rsidRDefault="004F0DDD" w:rsidP="004F0DDD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20" w:line="240" w:lineRule="atLeast"/>
        <w:ind w:left="0" w:firstLine="709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обзоры рынков, индустриальный анализ, рынки капиталов, информация о бенефициарах, фундаментальные анализы и исследования.</w:t>
      </w:r>
    </w:p>
    <w:p w:rsidR="004F0DDD" w:rsidRPr="004F0DDD" w:rsidRDefault="004F0DDD" w:rsidP="004F0DD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72" w:line="240" w:lineRule="atLeast"/>
        <w:ind w:left="0"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мощные аналитические средства, основанные на современных методах анализа рынка.</w:t>
      </w:r>
    </w:p>
    <w:p w:rsidR="004F0DDD" w:rsidRPr="004F0DDD" w:rsidRDefault="004F0DDD" w:rsidP="004F0DDD">
      <w:pPr>
        <w:shd w:val="clear" w:color="auto" w:fill="FFFFFF"/>
        <w:tabs>
          <w:tab w:val="num" w:pos="0"/>
        </w:tabs>
        <w:spacing w:after="120" w:line="240" w:lineRule="atLeast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Система дает возможность отслеживать следующие товарные рынки: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F0DDD" w:rsidRPr="004F0DDD" w:rsidTr="00C261CA">
        <w:tc>
          <w:tcPr>
            <w:tcW w:w="4785" w:type="dxa"/>
          </w:tcPr>
          <w:p w:rsidR="004F0DDD" w:rsidRPr="004F0DDD" w:rsidRDefault="004F0DDD" w:rsidP="004F0DDD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120" w:line="240" w:lineRule="atLeast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Нефть</w:t>
            </w:r>
          </w:p>
          <w:p w:rsidR="004F0DDD" w:rsidRPr="004F0DDD" w:rsidRDefault="004F0DDD" w:rsidP="004F0DDD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120" w:line="240" w:lineRule="atLeast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Природный газ</w:t>
            </w:r>
          </w:p>
          <w:p w:rsidR="004F0DDD" w:rsidRPr="004F0DDD" w:rsidRDefault="004F0DDD" w:rsidP="004F0DDD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120" w:line="240" w:lineRule="atLeast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Уголь</w:t>
            </w:r>
          </w:p>
        </w:tc>
        <w:tc>
          <w:tcPr>
            <w:tcW w:w="4786" w:type="dxa"/>
          </w:tcPr>
          <w:p w:rsidR="004F0DDD" w:rsidRPr="004F0DDD" w:rsidRDefault="004F0DDD" w:rsidP="004F0DDD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120" w:line="240" w:lineRule="atLeast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Металлы</w:t>
            </w:r>
          </w:p>
          <w:p w:rsidR="004F0DDD" w:rsidRPr="004F0DDD" w:rsidRDefault="004F0DDD" w:rsidP="004F0DDD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120" w:line="240" w:lineRule="atLeast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Сельское хозяйство</w:t>
            </w:r>
          </w:p>
          <w:p w:rsidR="004F0DDD" w:rsidRPr="004F0DDD" w:rsidRDefault="004F0DDD" w:rsidP="004F0DDD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120" w:line="240" w:lineRule="atLeast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и другие</w:t>
            </w:r>
          </w:p>
        </w:tc>
      </w:tr>
    </w:tbl>
    <w:p w:rsidR="004F0DDD" w:rsidRPr="004F0DDD" w:rsidRDefault="004F0DDD" w:rsidP="004F0DDD">
      <w:pPr>
        <w:spacing w:after="120" w:line="240" w:lineRule="atLeast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Для анализа товарных рынков предоставляются следующие инструменты: мониторинг цен в реальном времени, данные об остатках, 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lastRenderedPageBreak/>
        <w:t>спросе и предложении, технический анализ, прогнозирование, статистический и сравнительный анализ, визуализация на карте, отчеты и комментарии экспертов и аналитиков, прогнозы показателей и рекомендации инвестиционных банков.</w:t>
      </w:r>
    </w:p>
    <w:p w:rsidR="004F0DDD" w:rsidRPr="004F0DDD" w:rsidRDefault="004F0DDD" w:rsidP="004F0DDD">
      <w:pPr>
        <w:spacing w:after="120" w:line="240" w:lineRule="atLeast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Возможна загрузка архивных данных и данных в реальном времени в </w:t>
      </w:r>
      <w:r w:rsidRPr="004F0DDD">
        <w:rPr>
          <w:rFonts w:ascii="Times New Roman" w:hAnsi="Times New Roman" w:cs="Times New Roman"/>
          <w:color w:val="080808"/>
          <w:sz w:val="28"/>
          <w:szCs w:val="28"/>
          <w:lang w:val="en-US"/>
        </w:rPr>
        <w:t>MS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proofErr w:type="spellStart"/>
      <w:r w:rsidRPr="004F0DDD">
        <w:rPr>
          <w:rFonts w:ascii="Times New Roman" w:hAnsi="Times New Roman" w:cs="Times New Roman"/>
          <w:color w:val="080808"/>
          <w:sz w:val="28"/>
          <w:szCs w:val="28"/>
        </w:rPr>
        <w:t>Excel</w:t>
      </w:r>
      <w:proofErr w:type="spellEnd"/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. Система имеет более 300 заготовок для презентаций в </w:t>
      </w:r>
      <w:r w:rsidRPr="004F0DDD">
        <w:rPr>
          <w:rFonts w:ascii="Times New Roman" w:hAnsi="Times New Roman" w:cs="Times New Roman"/>
          <w:color w:val="080808"/>
          <w:sz w:val="28"/>
          <w:szCs w:val="28"/>
          <w:lang w:val="en-US"/>
        </w:rPr>
        <w:t>MS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r w:rsidRPr="004F0DDD">
        <w:rPr>
          <w:rFonts w:ascii="Times New Roman" w:hAnsi="Times New Roman" w:cs="Times New Roman"/>
          <w:color w:val="080808"/>
          <w:sz w:val="28"/>
          <w:szCs w:val="28"/>
          <w:lang w:val="en-US"/>
        </w:rPr>
        <w:t>PowerPoint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с целью создания анали</w:t>
      </w:r>
      <w:bookmarkStart w:id="0" w:name="_GoBack"/>
      <w:bookmarkEnd w:id="0"/>
      <w:r w:rsidRPr="004F0DDD">
        <w:rPr>
          <w:rFonts w:ascii="Times New Roman" w:hAnsi="Times New Roman" w:cs="Times New Roman"/>
          <w:color w:val="080808"/>
          <w:sz w:val="28"/>
          <w:szCs w:val="28"/>
        </w:rPr>
        <w:t>зов и отчетов.</w:t>
      </w:r>
    </w:p>
    <w:p w:rsidR="00E15566" w:rsidRPr="00E15566" w:rsidRDefault="00E15566" w:rsidP="00E15566">
      <w:pPr>
        <w:spacing w:after="120" w:line="312" w:lineRule="atLeast"/>
        <w:ind w:firstLine="709"/>
        <w:contextualSpacing/>
        <w:jc w:val="both"/>
        <w:rPr>
          <w:rFonts w:ascii="Times New Roman" w:hAnsi="Times New Roman" w:cs="Times New Roman"/>
          <w:b/>
          <w:color w:val="080808"/>
          <w:sz w:val="28"/>
          <w:szCs w:val="28"/>
        </w:rPr>
      </w:pPr>
      <w:r w:rsidRPr="00E15566">
        <w:rPr>
          <w:rFonts w:ascii="Times New Roman" w:hAnsi="Times New Roman" w:cs="Times New Roman"/>
          <w:color w:val="080808"/>
          <w:sz w:val="28"/>
          <w:szCs w:val="28"/>
        </w:rPr>
        <w:t xml:space="preserve">Сумма годовой подписки на </w:t>
      </w:r>
      <w:r w:rsidRP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 автоматизированное рабочее место </w:t>
      </w:r>
      <w:r w:rsidRPr="00E15566">
        <w:rPr>
          <w:rFonts w:ascii="Times New Roman" w:hAnsi="Times New Roman" w:cs="Times New Roman"/>
          <w:color w:val="080808"/>
          <w:sz w:val="28"/>
          <w:szCs w:val="28"/>
        </w:rPr>
        <w:t>сервиса ИАС «</w:t>
      </w:r>
      <w:proofErr w:type="spellStart"/>
      <w:r w:rsidRP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>Bloomberg</w:t>
      </w:r>
      <w:proofErr w:type="spellEnd"/>
      <w:r w:rsidRP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составляет </w:t>
      </w:r>
      <w:r w:rsidRPr="00E15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25 080 (двадцать пять тысяч восемьдесят) долларов США.  </w:t>
      </w:r>
    </w:p>
    <w:p w:rsidR="00BB3024" w:rsidRPr="004F0DDD" w:rsidRDefault="00BB3024" w:rsidP="004F0DDD">
      <w:pPr>
        <w:autoSpaceDE w:val="0"/>
        <w:autoSpaceDN w:val="0"/>
        <w:adjustRightInd w:val="0"/>
        <w:spacing w:line="240" w:lineRule="atLeast"/>
        <w:ind w:firstLine="709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4F0DDD">
        <w:rPr>
          <w:rFonts w:ascii="Times New Roman" w:hAnsi="Times New Roman" w:cs="Times New Roman"/>
          <w:b/>
          <w:sz w:val="28"/>
          <w:szCs w:val="28"/>
        </w:rPr>
        <w:t>Условия заключения договора:</w:t>
      </w:r>
    </w:p>
    <w:p w:rsidR="00BB3024" w:rsidRPr="009B0EC9" w:rsidRDefault="00BB3024" w:rsidP="004F0DDD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оказание информационно-аналитических услуг по предоставлению финансовой информации об участниках финансового рынка с использованием информационной системы «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A34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3024" w:rsidRDefault="00BB3024" w:rsidP="004F0DDD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Pr="00BB3024">
        <w:rPr>
          <w:rFonts w:ascii="Times New Roman" w:hAnsi="Times New Roman" w:cs="Times New Roman"/>
          <w:sz w:val="28"/>
          <w:szCs w:val="28"/>
        </w:rPr>
        <w:t xml:space="preserve">Компания </w:t>
      </w:r>
      <w:r w:rsidR="004F0DDD">
        <w:rPr>
          <w:rFonts w:ascii="Times New Roman" w:hAnsi="Times New Roman" w:cs="Times New Roman"/>
          <w:sz w:val="28"/>
          <w:szCs w:val="28"/>
        </w:rPr>
        <w:t>«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F0DDD" w:rsidRPr="004F0DDD">
        <w:rPr>
          <w:rFonts w:ascii="Times New Roman" w:hAnsi="Times New Roman" w:cs="Times New Roman"/>
          <w:sz w:val="28"/>
          <w:szCs w:val="28"/>
        </w:rPr>
        <w:t>.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F0DDD" w:rsidRPr="004F0DDD">
        <w:rPr>
          <w:rFonts w:ascii="Times New Roman" w:hAnsi="Times New Roman" w:cs="Times New Roman"/>
          <w:sz w:val="28"/>
          <w:szCs w:val="28"/>
        </w:rPr>
        <w:t>.</w:t>
      </w:r>
      <w:r w:rsidR="004F0D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024" w:rsidRDefault="00BB3024" w:rsidP="00BB30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 xml:space="preserve">Цена </w:t>
      </w:r>
      <w:r w:rsidRPr="004F0DDD">
        <w:rPr>
          <w:rFonts w:ascii="Times New Roman" w:hAnsi="Times New Roman" w:cs="Times New Roman"/>
          <w:i/>
          <w:sz w:val="28"/>
          <w:szCs w:val="28"/>
        </w:rPr>
        <w:t>договора:</w:t>
      </w:r>
      <w:r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25 080 </w:t>
      </w:r>
      <w:r w:rsidR="004F0DDD"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(двадцать пять тысяч восемьдесят) долларов США</w:t>
      </w:r>
      <w:r w:rsid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F0DDD" w:rsidRPr="004F0DDD">
        <w:rPr>
          <w:rFonts w:ascii="Times New Roman" w:hAnsi="Times New Roman" w:cs="Times New Roman"/>
          <w:sz w:val="28"/>
          <w:szCs w:val="28"/>
        </w:rPr>
        <w:t>без учета НДС</w:t>
      </w:r>
      <w:r w:rsid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4F0DDD"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 автоматизированное рабочее место </w:t>
      </w:r>
      <w:r w:rsidR="004F0DDD" w:rsidRPr="004F0DDD">
        <w:rPr>
          <w:rFonts w:ascii="Times New Roman" w:hAnsi="Times New Roman" w:cs="Times New Roman"/>
          <w:color w:val="080808"/>
          <w:sz w:val="28"/>
          <w:szCs w:val="28"/>
        </w:rPr>
        <w:t>сервиса ИАС «</w:t>
      </w:r>
      <w:proofErr w:type="spellStart"/>
      <w:r w:rsidR="004F0DDD"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Bloomberg</w:t>
      </w:r>
      <w:proofErr w:type="spellEnd"/>
      <w:r w:rsidR="004F0DDD"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9B0EC9">
        <w:rPr>
          <w:rFonts w:ascii="Times New Roman" w:hAnsi="Times New Roman" w:cs="Times New Roman"/>
          <w:sz w:val="28"/>
          <w:szCs w:val="28"/>
        </w:rPr>
        <w:t>.</w:t>
      </w:r>
    </w:p>
    <w:p w:rsidR="00731753" w:rsidRDefault="00731753" w:rsidP="0073175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0803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договора как с единственным поставщиком в соответствии с разделом 8.2.1. Положения о порядке проведения закупок для  нужд ГАУ «ЦСИ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Я)».</w:t>
      </w:r>
    </w:p>
    <w:p w:rsidR="00731753" w:rsidRDefault="00731753" w:rsidP="0073175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EC9" w:rsidRPr="00731753" w:rsidRDefault="00BB3024" w:rsidP="00DD32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753">
        <w:rPr>
          <w:rFonts w:ascii="Times New Roman" w:hAnsi="Times New Roman" w:cs="Times New Roman"/>
          <w:i/>
          <w:sz w:val="28"/>
          <w:szCs w:val="28"/>
        </w:rPr>
        <w:t>Приложение:</w:t>
      </w:r>
    </w:p>
    <w:p w:rsidR="00BB3024" w:rsidRPr="00731753" w:rsidRDefault="00BB3024" w:rsidP="00DD32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753">
        <w:rPr>
          <w:rFonts w:ascii="Times New Roman" w:hAnsi="Times New Roman" w:cs="Times New Roman"/>
          <w:i/>
          <w:sz w:val="28"/>
          <w:szCs w:val="28"/>
        </w:rPr>
        <w:t>Проект договора на оказание информационно-аналитических услуг по предоставлению финансовой информации об участниках финансового рынка с использованием информационной системы «</w:t>
      </w:r>
      <w:r w:rsidRPr="00731753">
        <w:rPr>
          <w:rFonts w:ascii="Times New Roman" w:hAnsi="Times New Roman" w:cs="Times New Roman"/>
          <w:i/>
          <w:sz w:val="28"/>
          <w:szCs w:val="28"/>
          <w:lang w:val="en-US"/>
        </w:rPr>
        <w:t>Bloomberg</w:t>
      </w:r>
      <w:r w:rsidRPr="007317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1753">
        <w:rPr>
          <w:rFonts w:ascii="Times New Roman" w:hAnsi="Times New Roman" w:cs="Times New Roman"/>
          <w:i/>
          <w:sz w:val="28"/>
          <w:szCs w:val="28"/>
          <w:lang w:val="en-US"/>
        </w:rPr>
        <w:t>Professional</w:t>
      </w:r>
      <w:r w:rsidRPr="00731753">
        <w:rPr>
          <w:rFonts w:ascii="Times New Roman" w:hAnsi="Times New Roman" w:cs="Times New Roman"/>
          <w:i/>
          <w:sz w:val="28"/>
          <w:szCs w:val="28"/>
        </w:rPr>
        <w:t>».</w:t>
      </w:r>
    </w:p>
    <w:p w:rsidR="00ED099B" w:rsidRPr="009B0EC9" w:rsidRDefault="00ED099B" w:rsidP="009B0EC9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1753" w:rsidRDefault="00731753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9B0EC9" w:rsidRDefault="009B0EC9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0EC9" w:rsidRP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Вопрос №</w:t>
      </w:r>
      <w:r w:rsidR="00731753">
        <w:rPr>
          <w:rFonts w:ascii="Times New Roman" w:hAnsi="Times New Roman" w:cs="Times New Roman"/>
          <w:b/>
          <w:sz w:val="28"/>
          <w:szCs w:val="28"/>
        </w:rPr>
        <w:t>9</w:t>
      </w:r>
      <w:r w:rsidRPr="009B0E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9B0EC9">
        <w:rPr>
          <w:rFonts w:ascii="Times New Roman" w:hAnsi="Times New Roman" w:cs="Times New Roman"/>
          <w:b/>
          <w:sz w:val="28"/>
          <w:szCs w:val="28"/>
        </w:rPr>
        <w:t>«25»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753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Pr="009B0EC9">
        <w:rPr>
          <w:rFonts w:ascii="Times New Roman" w:hAnsi="Times New Roman" w:cs="Times New Roman"/>
          <w:b/>
          <w:sz w:val="28"/>
          <w:szCs w:val="28"/>
        </w:rPr>
        <w:t>2015 г.</w:t>
      </w: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73175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B0EC9" w:rsidRDefault="009B0EC9" w:rsidP="007317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Наблюдательного совета ГАУ «ЦСИ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Я)» </w:t>
      </w:r>
    </w:p>
    <w:p w:rsidR="009B0EC9" w:rsidRDefault="00731753" w:rsidP="007317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одобрении крупной сделки с Компанией «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Finance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.» на оказание информационно-аналитических услуг по предоставлению финансовой информации об участниках финансового рынка с использованием системы «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DDD" w:rsidRPr="004F0DDD" w:rsidRDefault="00731753" w:rsidP="00E1556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34709">
        <w:rPr>
          <w:rFonts w:ascii="Times New Roman" w:hAnsi="Times New Roman" w:cs="Times New Roman"/>
          <w:sz w:val="28"/>
          <w:szCs w:val="28"/>
        </w:rPr>
        <w:t>добрить заключение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4709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</w:rPr>
        <w:t>с Компанией «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F0DDD" w:rsidRPr="004F0DDD">
        <w:rPr>
          <w:rFonts w:ascii="Times New Roman" w:hAnsi="Times New Roman" w:cs="Times New Roman"/>
          <w:sz w:val="28"/>
          <w:szCs w:val="28"/>
        </w:rPr>
        <w:t>.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F0DDD" w:rsidRPr="004F0DDD">
        <w:rPr>
          <w:rFonts w:ascii="Times New Roman" w:hAnsi="Times New Roman" w:cs="Times New Roman"/>
          <w:sz w:val="28"/>
          <w:szCs w:val="28"/>
        </w:rPr>
        <w:t>.</w:t>
      </w:r>
      <w:r w:rsidR="004F0DDD">
        <w:rPr>
          <w:rFonts w:ascii="Times New Roman" w:hAnsi="Times New Roman" w:cs="Times New Roman"/>
          <w:sz w:val="28"/>
          <w:szCs w:val="28"/>
        </w:rPr>
        <w:t>»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E15566">
        <w:rPr>
          <w:rFonts w:ascii="Times New Roman" w:hAnsi="Times New Roman" w:cs="Times New Roman"/>
          <w:sz w:val="28"/>
          <w:szCs w:val="28"/>
        </w:rPr>
        <w:t>на</w:t>
      </w:r>
      <w:r w:rsidR="004F0DDD" w:rsidRPr="004F0DDD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</w:rPr>
        <w:t>оказание информационно-аналитических услуг по предоставлению финансовой информации об участниках финансового рынка с использованием информационной системы «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4F0DDD" w:rsidRPr="00A34709">
        <w:rPr>
          <w:rFonts w:ascii="Times New Roman" w:hAnsi="Times New Roman" w:cs="Times New Roman"/>
          <w:sz w:val="28"/>
          <w:szCs w:val="28"/>
        </w:rPr>
        <w:t xml:space="preserve"> </w:t>
      </w:r>
      <w:r w:rsidR="004F0DDD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4F0DDD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4F0DDD" w:rsidRPr="00E15566">
        <w:rPr>
          <w:rFonts w:ascii="Times New Roman" w:hAnsi="Times New Roman" w:cs="Times New Roman"/>
          <w:b/>
          <w:sz w:val="28"/>
          <w:szCs w:val="28"/>
        </w:rPr>
        <w:t xml:space="preserve">25 080 </w:t>
      </w:r>
      <w:r w:rsidR="004F0DDD" w:rsidRPr="00E15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(двадцать пять тысяч восемьдесят) долларов США.</w:t>
      </w:r>
      <w:r w:rsidR="004F0DDD" w:rsidRPr="00E15566">
        <w:rPr>
          <w:b/>
          <w:sz w:val="28"/>
          <w:szCs w:val="28"/>
          <w:shd w:val="clear" w:color="auto" w:fill="FFFFFF"/>
        </w:rPr>
        <w:t xml:space="preserve">  </w:t>
      </w:r>
    </w:p>
    <w:p w:rsidR="00A34709" w:rsidRPr="004F0DDD" w:rsidRDefault="00A34709" w:rsidP="009B0EC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A34709" w:rsidRPr="004F0DDD" w:rsidSect="0073175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27D55"/>
    <w:multiLevelType w:val="hybridMultilevel"/>
    <w:tmpl w:val="80B2C614"/>
    <w:lvl w:ilvl="0" w:tplc="AC8E6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607D58"/>
    <w:multiLevelType w:val="hybridMultilevel"/>
    <w:tmpl w:val="D024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60029"/>
    <w:multiLevelType w:val="multilevel"/>
    <w:tmpl w:val="A04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83"/>
    <w:rsid w:val="00013956"/>
    <w:rsid w:val="00014FE2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763F2"/>
    <w:rsid w:val="000803BC"/>
    <w:rsid w:val="0008461E"/>
    <w:rsid w:val="0008774E"/>
    <w:rsid w:val="00096024"/>
    <w:rsid w:val="000A45AD"/>
    <w:rsid w:val="000A4B5F"/>
    <w:rsid w:val="000A73C8"/>
    <w:rsid w:val="000B3319"/>
    <w:rsid w:val="000C24B1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C2638"/>
    <w:rsid w:val="002C3857"/>
    <w:rsid w:val="002D1DCE"/>
    <w:rsid w:val="002F0C06"/>
    <w:rsid w:val="002F2FDC"/>
    <w:rsid w:val="002F3959"/>
    <w:rsid w:val="002F5DC5"/>
    <w:rsid w:val="002F6B5C"/>
    <w:rsid w:val="00300FBA"/>
    <w:rsid w:val="0031720B"/>
    <w:rsid w:val="00346C19"/>
    <w:rsid w:val="00351A89"/>
    <w:rsid w:val="003620EE"/>
    <w:rsid w:val="00365D36"/>
    <w:rsid w:val="003709F2"/>
    <w:rsid w:val="00376248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3294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83478"/>
    <w:rsid w:val="00486B5B"/>
    <w:rsid w:val="00495E24"/>
    <w:rsid w:val="004A5B2E"/>
    <w:rsid w:val="004A5E72"/>
    <w:rsid w:val="004B162E"/>
    <w:rsid w:val="004B1976"/>
    <w:rsid w:val="004B3FBA"/>
    <w:rsid w:val="004C19B0"/>
    <w:rsid w:val="004C2B82"/>
    <w:rsid w:val="004D1977"/>
    <w:rsid w:val="004D2FF7"/>
    <w:rsid w:val="004D4A32"/>
    <w:rsid w:val="004E10D8"/>
    <w:rsid w:val="004E7CBB"/>
    <w:rsid w:val="004E7DA3"/>
    <w:rsid w:val="004F0DDD"/>
    <w:rsid w:val="004F148C"/>
    <w:rsid w:val="004F2CB0"/>
    <w:rsid w:val="004F729C"/>
    <w:rsid w:val="005255E2"/>
    <w:rsid w:val="00532546"/>
    <w:rsid w:val="005346C2"/>
    <w:rsid w:val="005369F5"/>
    <w:rsid w:val="00536A6C"/>
    <w:rsid w:val="005379C7"/>
    <w:rsid w:val="005422D3"/>
    <w:rsid w:val="00551E0D"/>
    <w:rsid w:val="005558B7"/>
    <w:rsid w:val="00557C2D"/>
    <w:rsid w:val="00560ED9"/>
    <w:rsid w:val="005636F7"/>
    <w:rsid w:val="00563907"/>
    <w:rsid w:val="00571A86"/>
    <w:rsid w:val="00572B39"/>
    <w:rsid w:val="005839DE"/>
    <w:rsid w:val="0059434B"/>
    <w:rsid w:val="00595376"/>
    <w:rsid w:val="005A3998"/>
    <w:rsid w:val="005A411F"/>
    <w:rsid w:val="005B0054"/>
    <w:rsid w:val="005B0D44"/>
    <w:rsid w:val="005B340C"/>
    <w:rsid w:val="005B3AE1"/>
    <w:rsid w:val="005D0883"/>
    <w:rsid w:val="005D51DE"/>
    <w:rsid w:val="005D6A23"/>
    <w:rsid w:val="005F2FA2"/>
    <w:rsid w:val="005F5C3F"/>
    <w:rsid w:val="006108A6"/>
    <w:rsid w:val="00611888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925BD"/>
    <w:rsid w:val="0069503F"/>
    <w:rsid w:val="006956FC"/>
    <w:rsid w:val="006B2759"/>
    <w:rsid w:val="006B4C6B"/>
    <w:rsid w:val="006C1676"/>
    <w:rsid w:val="006E3A7B"/>
    <w:rsid w:val="006F597C"/>
    <w:rsid w:val="0070478E"/>
    <w:rsid w:val="00724084"/>
    <w:rsid w:val="007240CA"/>
    <w:rsid w:val="0073134E"/>
    <w:rsid w:val="00731753"/>
    <w:rsid w:val="007463AB"/>
    <w:rsid w:val="0076205B"/>
    <w:rsid w:val="007643AD"/>
    <w:rsid w:val="00772CF9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14027"/>
    <w:rsid w:val="00814CE8"/>
    <w:rsid w:val="00817AC8"/>
    <w:rsid w:val="0082332E"/>
    <w:rsid w:val="00830C00"/>
    <w:rsid w:val="00831E7E"/>
    <w:rsid w:val="00837EAB"/>
    <w:rsid w:val="00857CBA"/>
    <w:rsid w:val="008733C2"/>
    <w:rsid w:val="008833FF"/>
    <w:rsid w:val="008912E2"/>
    <w:rsid w:val="008945FC"/>
    <w:rsid w:val="0089618E"/>
    <w:rsid w:val="008979A7"/>
    <w:rsid w:val="008A3349"/>
    <w:rsid w:val="008B02B4"/>
    <w:rsid w:val="008B372C"/>
    <w:rsid w:val="008B5DA5"/>
    <w:rsid w:val="008B7312"/>
    <w:rsid w:val="008D1E24"/>
    <w:rsid w:val="008E06CF"/>
    <w:rsid w:val="008E223B"/>
    <w:rsid w:val="00902DAB"/>
    <w:rsid w:val="009036E4"/>
    <w:rsid w:val="00906381"/>
    <w:rsid w:val="00916B10"/>
    <w:rsid w:val="00921794"/>
    <w:rsid w:val="009233D6"/>
    <w:rsid w:val="00925D25"/>
    <w:rsid w:val="0093446A"/>
    <w:rsid w:val="009374AD"/>
    <w:rsid w:val="00940800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91FF8"/>
    <w:rsid w:val="0099281D"/>
    <w:rsid w:val="00993C63"/>
    <w:rsid w:val="009A6429"/>
    <w:rsid w:val="009B0EC9"/>
    <w:rsid w:val="009B7027"/>
    <w:rsid w:val="009D40E1"/>
    <w:rsid w:val="009F3649"/>
    <w:rsid w:val="00A01D61"/>
    <w:rsid w:val="00A25BF5"/>
    <w:rsid w:val="00A2626D"/>
    <w:rsid w:val="00A332ED"/>
    <w:rsid w:val="00A34709"/>
    <w:rsid w:val="00A40B00"/>
    <w:rsid w:val="00A43DC0"/>
    <w:rsid w:val="00A62B81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B3024"/>
    <w:rsid w:val="00BC1B6C"/>
    <w:rsid w:val="00BD1FD2"/>
    <w:rsid w:val="00BD5BB2"/>
    <w:rsid w:val="00BD72DC"/>
    <w:rsid w:val="00BF5156"/>
    <w:rsid w:val="00C05EF5"/>
    <w:rsid w:val="00C17062"/>
    <w:rsid w:val="00C20616"/>
    <w:rsid w:val="00C206CC"/>
    <w:rsid w:val="00C2631C"/>
    <w:rsid w:val="00C27924"/>
    <w:rsid w:val="00C27B70"/>
    <w:rsid w:val="00C43836"/>
    <w:rsid w:val="00C45365"/>
    <w:rsid w:val="00C51114"/>
    <w:rsid w:val="00C51F71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E0072"/>
    <w:rsid w:val="00CE08D8"/>
    <w:rsid w:val="00CE272B"/>
    <w:rsid w:val="00CF447B"/>
    <w:rsid w:val="00D04762"/>
    <w:rsid w:val="00D11CC1"/>
    <w:rsid w:val="00D15F43"/>
    <w:rsid w:val="00D232AB"/>
    <w:rsid w:val="00D32FC1"/>
    <w:rsid w:val="00D47847"/>
    <w:rsid w:val="00D53120"/>
    <w:rsid w:val="00D73BC1"/>
    <w:rsid w:val="00D853F5"/>
    <w:rsid w:val="00DA577D"/>
    <w:rsid w:val="00DB2A55"/>
    <w:rsid w:val="00DC389E"/>
    <w:rsid w:val="00DC6C20"/>
    <w:rsid w:val="00DD32E9"/>
    <w:rsid w:val="00DD4D5D"/>
    <w:rsid w:val="00DD6886"/>
    <w:rsid w:val="00DD6CE9"/>
    <w:rsid w:val="00DF364A"/>
    <w:rsid w:val="00DF42BE"/>
    <w:rsid w:val="00DF4416"/>
    <w:rsid w:val="00E013E1"/>
    <w:rsid w:val="00E0471F"/>
    <w:rsid w:val="00E15566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5563"/>
    <w:rsid w:val="00E9795F"/>
    <w:rsid w:val="00EA2377"/>
    <w:rsid w:val="00EA653E"/>
    <w:rsid w:val="00EB24B5"/>
    <w:rsid w:val="00EB47BF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1119"/>
    <w:rsid w:val="00F13596"/>
    <w:rsid w:val="00F14A4F"/>
    <w:rsid w:val="00F14CB4"/>
    <w:rsid w:val="00F20ACA"/>
    <w:rsid w:val="00F21B30"/>
    <w:rsid w:val="00F21BCE"/>
    <w:rsid w:val="00F2304B"/>
    <w:rsid w:val="00F347D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EC9"/>
    <w:pPr>
      <w:ind w:left="720"/>
      <w:contextualSpacing/>
    </w:pPr>
  </w:style>
  <w:style w:type="table" w:styleId="a4">
    <w:name w:val="Table Grid"/>
    <w:basedOn w:val="a1"/>
    <w:uiPriority w:val="59"/>
    <w:rsid w:val="004F0D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EC9"/>
    <w:pPr>
      <w:ind w:left="720"/>
      <w:contextualSpacing/>
    </w:pPr>
  </w:style>
  <w:style w:type="table" w:styleId="a4">
    <w:name w:val="Table Grid"/>
    <w:basedOn w:val="a1"/>
    <w:uiPriority w:val="59"/>
    <w:rsid w:val="004F0D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Ойунская Сардана Платоновна</dc:creator>
  <cp:keywords/>
  <dc:description/>
  <cp:lastModifiedBy>Ойунская Сардана Платоновна</cp:lastModifiedBy>
  <cp:revision>7</cp:revision>
  <cp:lastPrinted>2015-02-20T02:42:00Z</cp:lastPrinted>
  <dcterms:created xsi:type="dcterms:W3CDTF">2015-02-19T08:50:00Z</dcterms:created>
  <dcterms:modified xsi:type="dcterms:W3CDTF">2015-02-20T02:43:00Z</dcterms:modified>
</cp:coreProperties>
</file>